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185603" w:rsidP="008A22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FDB6A1" wp14:editId="1353EEF8">
            <wp:extent cx="9177251" cy="5536276"/>
            <wp:effectExtent l="0" t="0" r="24130" b="266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FE0" w:rsidRDefault="00185603" w:rsidP="008A22C6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AC68F15" wp14:editId="12B242CB">
            <wp:extent cx="9027622" cy="5552902"/>
            <wp:effectExtent l="0" t="0" r="21590" b="101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3DB5" w:rsidRDefault="00A53DB5" w:rsidP="008A22C6">
      <w:pPr>
        <w:rPr>
          <w:b/>
        </w:rPr>
      </w:pPr>
    </w:p>
    <w:p w:rsidR="00A53DB5" w:rsidRPr="00A53DB5" w:rsidRDefault="00A53DB5" w:rsidP="008A22C6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B68AB8E" wp14:editId="098A3DCE">
            <wp:extent cx="9193876" cy="4621876"/>
            <wp:effectExtent l="0" t="0" r="2667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FE0" w:rsidRDefault="00627FE0" w:rsidP="008A22C6"/>
    <w:p w:rsidR="00627FE0" w:rsidRDefault="00627FE0" w:rsidP="008A22C6"/>
    <w:p w:rsidR="002A422A" w:rsidRDefault="002A422A" w:rsidP="008A22C6"/>
    <w:p w:rsidR="002A422A" w:rsidRDefault="00A53DB5" w:rsidP="008A22C6">
      <w:r>
        <w:br w:type="page"/>
      </w:r>
      <w:r w:rsidR="00185603">
        <w:rPr>
          <w:noProof/>
          <w:lang w:eastAsia="en-GB"/>
        </w:rPr>
        <w:lastRenderedPageBreak/>
        <w:drawing>
          <wp:inline distT="0" distB="0" distL="0" distR="0" wp14:anchorId="1771CBCC" wp14:editId="03A42149">
            <wp:extent cx="9077498" cy="5785658"/>
            <wp:effectExtent l="0" t="0" r="9525" b="2476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85603">
        <w:br w:type="page"/>
      </w:r>
      <w:r w:rsidR="00185603">
        <w:rPr>
          <w:noProof/>
          <w:lang w:eastAsia="en-GB"/>
        </w:rPr>
        <w:lastRenderedPageBreak/>
        <w:drawing>
          <wp:inline distT="0" distB="0" distL="0" distR="0" wp14:anchorId="7B26BF05" wp14:editId="187B2C63">
            <wp:extent cx="9227127" cy="5719156"/>
            <wp:effectExtent l="0" t="0" r="1270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3DB5" w:rsidRDefault="00A53DB5" w:rsidP="008A22C6"/>
    <w:p w:rsidR="00A53DB5" w:rsidRPr="008A22C6" w:rsidRDefault="00185603" w:rsidP="008A22C6">
      <w:r>
        <w:rPr>
          <w:noProof/>
          <w:lang w:eastAsia="en-GB"/>
        </w:rPr>
        <w:drawing>
          <wp:inline distT="0" distB="0" distL="0" distR="0" wp14:anchorId="2A59E6BC" wp14:editId="7B2F711B">
            <wp:extent cx="9060873" cy="5453149"/>
            <wp:effectExtent l="0" t="0" r="2603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53DB5" w:rsidRPr="008A22C6" w:rsidSect="00A53DB5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03" w:rsidRDefault="00185603" w:rsidP="00185603">
      <w:r>
        <w:separator/>
      </w:r>
    </w:p>
  </w:endnote>
  <w:endnote w:type="continuationSeparator" w:id="0">
    <w:p w:rsidR="00185603" w:rsidRDefault="00185603" w:rsidP="0018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03" w:rsidRDefault="00185603">
    <w:pPr>
      <w:pStyle w:val="Footer"/>
      <w:jc w:val="right"/>
    </w:pPr>
    <w:r>
      <w:t xml:space="preserve">Appendix </w:t>
    </w:r>
    <w:r w:rsidR="00FD6004">
      <w:t>4</w:t>
    </w:r>
    <w:r>
      <w:t xml:space="preserve"> - </w:t>
    </w:r>
    <w:sdt>
      <w:sdtPr>
        <w:id w:val="191573705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D60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D600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185603" w:rsidRDefault="0018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03" w:rsidRDefault="00185603" w:rsidP="00185603">
      <w:r>
        <w:separator/>
      </w:r>
    </w:p>
  </w:footnote>
  <w:footnote w:type="continuationSeparator" w:id="0">
    <w:p w:rsidR="00185603" w:rsidRDefault="00185603" w:rsidP="0018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03" w:rsidRDefault="00185603">
    <w:pPr>
      <w:pStyle w:val="Header"/>
    </w:pPr>
    <w:r>
      <w:rPr>
        <w:b/>
      </w:rPr>
      <w:t xml:space="preserve">Appendix </w:t>
    </w:r>
    <w:r w:rsidR="00FD6004">
      <w:rPr>
        <w:b/>
      </w:rPr>
      <w:t>4</w:t>
    </w:r>
    <w:r>
      <w:rPr>
        <w:b/>
      </w:rPr>
      <w:t xml:space="preserve"> – Void Property Performance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D4"/>
    <w:rsid w:val="00027AD4"/>
    <w:rsid w:val="000B4310"/>
    <w:rsid w:val="00185603"/>
    <w:rsid w:val="002A422A"/>
    <w:rsid w:val="003405E6"/>
    <w:rsid w:val="004000D7"/>
    <w:rsid w:val="00504E43"/>
    <w:rsid w:val="00603387"/>
    <w:rsid w:val="00627FE0"/>
    <w:rsid w:val="007908F4"/>
    <w:rsid w:val="008A22C6"/>
    <w:rsid w:val="00A53DB5"/>
    <w:rsid w:val="00C07F80"/>
    <w:rsid w:val="00F73A61"/>
    <w:rsid w:val="00FD3A85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03"/>
  </w:style>
  <w:style w:type="paragraph" w:styleId="Footer">
    <w:name w:val="footer"/>
    <w:basedOn w:val="Normal"/>
    <w:link w:val="FooterChar"/>
    <w:uiPriority w:val="99"/>
    <w:unhideWhenUsed/>
    <w:rsid w:val="00185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03"/>
  </w:style>
  <w:style w:type="paragraph" w:styleId="Footer">
    <w:name w:val="footer"/>
    <w:basedOn w:val="Normal"/>
    <w:link w:val="FooterChar"/>
    <w:uiPriority w:val="99"/>
    <w:unhideWhenUsed/>
    <w:rsid w:val="00185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ousing-Services\Tenancy-Services\Voids\Re-let%20Data%202016%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ousing-Services\Tenancy-Services\Voids\Re-let%20Data%202017%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ousing-Services\Tenancy-Services\Voids\Re-let%20Data%202016%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ousing-Services\Tenancy-Services\Voids\Re-let%20Data%202017%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ousing-Services\Tenancy-Services\Voids\Re-let%20Data%202016%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ousing-Services\Tenancy-Services\Voids\Re-let%20Data%202017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Standard Voids 2016-17</a:t>
            </a:r>
          </a:p>
        </c:rich>
      </c:tx>
      <c:layout>
        <c:manualLayout>
          <c:xMode val="edge"/>
          <c:yMode val="edge"/>
          <c:x val="0.36988076894101346"/>
          <c:y val="1.26019692809633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Monthly!$L$16</c:f>
              <c:strCache>
                <c:ptCount val="1"/>
                <c:pt idx="0">
                  <c:v>Monthly Performance</c:v>
                </c:pt>
              </c:strCache>
            </c:strRef>
          </c:tx>
          <c:invertIfNegative val="0"/>
          <c:cat>
            <c:strRef>
              <c:f>Monthly!$J$17:$J$28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Monthly!$L$17:$L$28</c:f>
              <c:numCache>
                <c:formatCode>0.00</c:formatCode>
                <c:ptCount val="12"/>
                <c:pt idx="0">
                  <c:v>52.5</c:v>
                </c:pt>
                <c:pt idx="1">
                  <c:v>44.333333333333336</c:v>
                </c:pt>
                <c:pt idx="2">
                  <c:v>47</c:v>
                </c:pt>
                <c:pt idx="3">
                  <c:v>49.53846153846154</c:v>
                </c:pt>
                <c:pt idx="4">
                  <c:v>51</c:v>
                </c:pt>
                <c:pt idx="5">
                  <c:v>61.478260869565219</c:v>
                </c:pt>
                <c:pt idx="6">
                  <c:v>48.416666666666664</c:v>
                </c:pt>
                <c:pt idx="7">
                  <c:v>32.958333333333336</c:v>
                </c:pt>
                <c:pt idx="8">
                  <c:v>39.43333333333333</c:v>
                </c:pt>
                <c:pt idx="9">
                  <c:v>40.333333333333336</c:v>
                </c:pt>
                <c:pt idx="10">
                  <c:v>20.72</c:v>
                </c:pt>
                <c:pt idx="11">
                  <c:v>17.5</c:v>
                </c:pt>
              </c:numCache>
            </c:numRef>
          </c:val>
        </c:ser>
        <c:ser>
          <c:idx val="2"/>
          <c:order val="2"/>
          <c:tx>
            <c:strRef>
              <c:f>Monthly!$M$16</c:f>
              <c:strCache>
                <c:ptCount val="1"/>
                <c:pt idx="0">
                  <c:v>Properties Let</c:v>
                </c:pt>
              </c:strCache>
            </c:strRef>
          </c:tx>
          <c:invertIfNegative val="0"/>
          <c:cat>
            <c:strRef>
              <c:f>Monthly!$J$17:$J$28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Monthly!$M$17:$M$28</c:f>
              <c:numCache>
                <c:formatCode>0</c:formatCode>
                <c:ptCount val="12"/>
                <c:pt idx="0">
                  <c:v>18</c:v>
                </c:pt>
                <c:pt idx="1">
                  <c:v>21</c:v>
                </c:pt>
                <c:pt idx="2">
                  <c:v>21</c:v>
                </c:pt>
                <c:pt idx="3">
                  <c:v>26</c:v>
                </c:pt>
                <c:pt idx="4">
                  <c:v>21</c:v>
                </c:pt>
                <c:pt idx="5">
                  <c:v>23</c:v>
                </c:pt>
                <c:pt idx="6">
                  <c:v>36</c:v>
                </c:pt>
                <c:pt idx="7">
                  <c:v>24</c:v>
                </c:pt>
                <c:pt idx="8">
                  <c:v>30</c:v>
                </c:pt>
                <c:pt idx="9">
                  <c:v>42</c:v>
                </c:pt>
                <c:pt idx="10">
                  <c:v>25</c:v>
                </c:pt>
                <c:pt idx="1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01248"/>
        <c:axId val="152103168"/>
      </c:barChart>
      <c:lineChart>
        <c:grouping val="standard"/>
        <c:varyColors val="0"/>
        <c:ser>
          <c:idx val="0"/>
          <c:order val="0"/>
          <c:tx>
            <c:strRef>
              <c:f>Monthly!$K$16</c:f>
              <c:strCache>
                <c:ptCount val="1"/>
                <c:pt idx="0">
                  <c:v>Year to Date</c:v>
                </c:pt>
              </c:strCache>
            </c:strRef>
          </c:tx>
          <c:marker>
            <c:symbol val="none"/>
          </c:marker>
          <c:cat>
            <c:strRef>
              <c:f>Monthly!$J$17:$J$28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Monthly!$K$17:$K$28</c:f>
              <c:numCache>
                <c:formatCode>0.00</c:formatCode>
                <c:ptCount val="12"/>
                <c:pt idx="0">
                  <c:v>52.5</c:v>
                </c:pt>
                <c:pt idx="1">
                  <c:v>48.102564102564102</c:v>
                </c:pt>
                <c:pt idx="2">
                  <c:v>47.716666666666669</c:v>
                </c:pt>
                <c:pt idx="3">
                  <c:v>48.267441860465119</c:v>
                </c:pt>
                <c:pt idx="4">
                  <c:v>48.803738317757009</c:v>
                </c:pt>
                <c:pt idx="5">
                  <c:v>51.04615384615385</c:v>
                </c:pt>
                <c:pt idx="6">
                  <c:v>50.475903614457835</c:v>
                </c:pt>
                <c:pt idx="7">
                  <c:v>48.263157894736842</c:v>
                </c:pt>
                <c:pt idx="8">
                  <c:v>47.059090909090912</c:v>
                </c:pt>
                <c:pt idx="9">
                  <c:v>45.980916030534353</c:v>
                </c:pt>
                <c:pt idx="10">
                  <c:v>43.780487804878049</c:v>
                </c:pt>
                <c:pt idx="11">
                  <c:v>41.144200626959247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01248"/>
        <c:axId val="152103168"/>
      </c:lineChart>
      <c:catAx>
        <c:axId val="15210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103168"/>
        <c:crosses val="autoZero"/>
        <c:auto val="1"/>
        <c:lblAlgn val="ctr"/>
        <c:lblOffset val="100"/>
        <c:noMultiLvlLbl val="0"/>
      </c:catAx>
      <c:valAx>
        <c:axId val="152103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Days Void Per Property</a:t>
                </a:r>
              </a:p>
            </c:rich>
          </c:tx>
          <c:layout/>
          <c:overlay val="0"/>
        </c:title>
        <c:numFmt formatCode="0" sourceLinked="0"/>
        <c:majorTickMark val="none"/>
        <c:minorTickMark val="none"/>
        <c:tickLblPos val="nextTo"/>
        <c:crossAx val="152101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Standard Voids 2017-18</a:t>
            </a:r>
          </a:p>
        </c:rich>
      </c:tx>
      <c:layout>
        <c:manualLayout>
          <c:xMode val="edge"/>
          <c:yMode val="edge"/>
          <c:x val="0.36988076894101346"/>
          <c:y val="1.26019692809633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Monthly!$L$11</c:f>
              <c:strCache>
                <c:ptCount val="1"/>
                <c:pt idx="0">
                  <c:v>Monthly Performance</c:v>
                </c:pt>
              </c:strCache>
            </c:strRef>
          </c:tx>
          <c:invertIfNegative val="0"/>
          <c:cat>
            <c:strRef>
              <c:f>Monthly!$J$12:$J$18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Monthly!$L$12:$L$18</c:f>
              <c:numCache>
                <c:formatCode>0.00</c:formatCode>
                <c:ptCount val="7"/>
                <c:pt idx="0">
                  <c:v>16.578947368421051</c:v>
                </c:pt>
                <c:pt idx="1">
                  <c:v>14.875</c:v>
                </c:pt>
                <c:pt idx="2">
                  <c:v>12.173913043478262</c:v>
                </c:pt>
                <c:pt idx="3">
                  <c:v>14.5</c:v>
                </c:pt>
                <c:pt idx="4">
                  <c:v>20.5625</c:v>
                </c:pt>
                <c:pt idx="5">
                  <c:v>12.055555555555555</c:v>
                </c:pt>
                <c:pt idx="6">
                  <c:v>14.411764705882353</c:v>
                </c:pt>
              </c:numCache>
            </c:numRef>
          </c:val>
        </c:ser>
        <c:ser>
          <c:idx val="2"/>
          <c:order val="2"/>
          <c:tx>
            <c:strRef>
              <c:f>Monthly!$M$11</c:f>
              <c:strCache>
                <c:ptCount val="1"/>
                <c:pt idx="0">
                  <c:v>Properties Let</c:v>
                </c:pt>
              </c:strCache>
            </c:strRef>
          </c:tx>
          <c:invertIfNegative val="0"/>
          <c:cat>
            <c:strRef>
              <c:f>Monthly!$J$12:$J$18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Monthly!$M$12:$M$18</c:f>
              <c:numCache>
                <c:formatCode>0</c:formatCode>
                <c:ptCount val="7"/>
                <c:pt idx="0">
                  <c:v>19</c:v>
                </c:pt>
                <c:pt idx="1">
                  <c:v>32</c:v>
                </c:pt>
                <c:pt idx="2">
                  <c:v>23</c:v>
                </c:pt>
                <c:pt idx="3">
                  <c:v>28</c:v>
                </c:pt>
                <c:pt idx="4">
                  <c:v>16</c:v>
                </c:pt>
                <c:pt idx="5">
                  <c:v>18</c:v>
                </c:pt>
                <c:pt idx="6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55712"/>
        <c:axId val="161920512"/>
      </c:barChart>
      <c:lineChart>
        <c:grouping val="standard"/>
        <c:varyColors val="0"/>
        <c:ser>
          <c:idx val="0"/>
          <c:order val="0"/>
          <c:tx>
            <c:strRef>
              <c:f>Monthly!$K$11</c:f>
              <c:strCache>
                <c:ptCount val="1"/>
                <c:pt idx="0">
                  <c:v>Year to Date</c:v>
                </c:pt>
              </c:strCache>
            </c:strRef>
          </c:tx>
          <c:marker>
            <c:symbol val="none"/>
          </c:marker>
          <c:cat>
            <c:strRef>
              <c:f>Monthly!$J$12:$J$18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Monthly!$K$12:$K$18</c:f>
              <c:numCache>
                <c:formatCode>0.00</c:formatCode>
                <c:ptCount val="7"/>
                <c:pt idx="0">
                  <c:v>16.578947368421051</c:v>
                </c:pt>
                <c:pt idx="1">
                  <c:v>15.509803921568627</c:v>
                </c:pt>
                <c:pt idx="2">
                  <c:v>14.472972972972974</c:v>
                </c:pt>
                <c:pt idx="3">
                  <c:v>14.480392156862745</c:v>
                </c:pt>
                <c:pt idx="4">
                  <c:v>15.305084745762711</c:v>
                </c:pt>
                <c:pt idx="5">
                  <c:v>14.875</c:v>
                </c:pt>
                <c:pt idx="6">
                  <c:v>14.823529411764707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55712"/>
        <c:axId val="161920512"/>
      </c:lineChart>
      <c:catAx>
        <c:axId val="161155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920512"/>
        <c:crosses val="autoZero"/>
        <c:auto val="1"/>
        <c:lblAlgn val="ctr"/>
        <c:lblOffset val="100"/>
        <c:noMultiLvlLbl val="0"/>
      </c:catAx>
      <c:valAx>
        <c:axId val="161920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Days Void Per Property</a:t>
                </a:r>
              </a:p>
            </c:rich>
          </c:tx>
          <c:layout/>
          <c:overlay val="0"/>
        </c:title>
        <c:numFmt formatCode="0" sourceLinked="0"/>
        <c:majorTickMark val="none"/>
        <c:minorTickMark val="none"/>
        <c:tickLblPos val="nextTo"/>
        <c:crossAx val="161155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Major Works Voids 2016-17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Monthly!$L$3</c:f>
              <c:strCache>
                <c:ptCount val="1"/>
                <c:pt idx="0">
                  <c:v>Monthly Performance</c:v>
                </c:pt>
              </c:strCache>
            </c:strRef>
          </c:tx>
          <c:invertIfNegative val="0"/>
          <c:cat>
            <c:strRef>
              <c:f>Monthly!$J$4:$J$15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Monthly!$L$4:$L$15</c:f>
              <c:numCache>
                <c:formatCode>0.00</c:formatCode>
                <c:ptCount val="12"/>
                <c:pt idx="0">
                  <c:v>42</c:v>
                </c:pt>
                <c:pt idx="1">
                  <c:v>42</c:v>
                </c:pt>
                <c:pt idx="2">
                  <c:v>44.333333333333336</c:v>
                </c:pt>
                <c:pt idx="3">
                  <c:v>42</c:v>
                </c:pt>
                <c:pt idx="4">
                  <c:v>45.5</c:v>
                </c:pt>
                <c:pt idx="5">
                  <c:v>47.25</c:v>
                </c:pt>
                <c:pt idx="6">
                  <c:v>66.5</c:v>
                </c:pt>
                <c:pt idx="7">
                  <c:v>51.333333333333336</c:v>
                </c:pt>
                <c:pt idx="8">
                  <c:v>42</c:v>
                </c:pt>
                <c:pt idx="9">
                  <c:v>52.5</c:v>
                </c:pt>
                <c:pt idx="10">
                  <c:v>119</c:v>
                </c:pt>
                <c:pt idx="11">
                  <c:v>175</c:v>
                </c:pt>
              </c:numCache>
            </c:numRef>
          </c:val>
        </c:ser>
        <c:ser>
          <c:idx val="2"/>
          <c:order val="2"/>
          <c:tx>
            <c:strRef>
              <c:f>Monthly!$M$3</c:f>
              <c:strCache>
                <c:ptCount val="1"/>
                <c:pt idx="0">
                  <c:v>Properties Let</c:v>
                </c:pt>
              </c:strCache>
            </c:strRef>
          </c:tx>
          <c:invertIfNegative val="0"/>
          <c:cat>
            <c:strRef>
              <c:f>Monthly!$J$4:$J$15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Monthly!$M$4:$M$15</c:f>
              <c:numCache>
                <c:formatCode>0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802880"/>
        <c:axId val="181804416"/>
      </c:barChart>
      <c:lineChart>
        <c:grouping val="standard"/>
        <c:varyColors val="0"/>
        <c:ser>
          <c:idx val="0"/>
          <c:order val="0"/>
          <c:tx>
            <c:strRef>
              <c:f>Monthly!$K$3</c:f>
              <c:strCache>
                <c:ptCount val="1"/>
                <c:pt idx="0">
                  <c:v>Year to Date</c:v>
                </c:pt>
              </c:strCache>
            </c:strRef>
          </c:tx>
          <c:marker>
            <c:symbol val="none"/>
          </c:marker>
          <c:cat>
            <c:strRef>
              <c:f>Monthly!$J$4:$J$15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Monthly!$K$4:$K$15</c:f>
              <c:numCache>
                <c:formatCode>0.00</c:formatCode>
                <c:ptCount val="12"/>
                <c:pt idx="0">
                  <c:v>42</c:v>
                </c:pt>
                <c:pt idx="1">
                  <c:v>42</c:v>
                </c:pt>
                <c:pt idx="2">
                  <c:v>43</c:v>
                </c:pt>
                <c:pt idx="3">
                  <c:v>42.875</c:v>
                </c:pt>
                <c:pt idx="4">
                  <c:v>43.4</c:v>
                </c:pt>
                <c:pt idx="5">
                  <c:v>44.5</c:v>
                </c:pt>
                <c:pt idx="6">
                  <c:v>49.388888888888886</c:v>
                </c:pt>
                <c:pt idx="7">
                  <c:v>49.666666666666664</c:v>
                </c:pt>
                <c:pt idx="8">
                  <c:v>49.31818181818182</c:v>
                </c:pt>
                <c:pt idx="9">
                  <c:v>49.583333333333336</c:v>
                </c:pt>
                <c:pt idx="10">
                  <c:v>54.92307692307692</c:v>
                </c:pt>
                <c:pt idx="11">
                  <c:v>67.34482758620689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802880"/>
        <c:axId val="181804416"/>
      </c:lineChart>
      <c:catAx>
        <c:axId val="181802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804416"/>
        <c:crosses val="autoZero"/>
        <c:auto val="1"/>
        <c:lblAlgn val="ctr"/>
        <c:lblOffset val="100"/>
        <c:noMultiLvlLbl val="0"/>
      </c:catAx>
      <c:valAx>
        <c:axId val="1818044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Days Void Per Property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crossAx val="181802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Major Works Voids 2017-18</a:t>
            </a:r>
          </a:p>
        </c:rich>
      </c:tx>
      <c:layout>
        <c:manualLayout>
          <c:xMode val="edge"/>
          <c:yMode val="edge"/>
          <c:x val="0.36988076894101346"/>
          <c:y val="1.26019692809633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Monthly!$L$3</c:f>
              <c:strCache>
                <c:ptCount val="1"/>
                <c:pt idx="0">
                  <c:v>Monthly Performance</c:v>
                </c:pt>
              </c:strCache>
            </c:strRef>
          </c:tx>
          <c:invertIfNegative val="0"/>
          <c:cat>
            <c:strRef>
              <c:f>Monthly!$J$4:$J$10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Monthly!$L$4:$L$10</c:f>
              <c:numCache>
                <c:formatCode>0.00</c:formatCode>
                <c:ptCount val="7"/>
                <c:pt idx="0">
                  <c:v>51.75</c:v>
                </c:pt>
                <c:pt idx="1">
                  <c:v>47.833333333333336</c:v>
                </c:pt>
                <c:pt idx="2">
                  <c:v>28</c:v>
                </c:pt>
                <c:pt idx="3">
                  <c:v>26.25</c:v>
                </c:pt>
                <c:pt idx="4">
                  <c:v>14</c:v>
                </c:pt>
                <c:pt idx="5">
                  <c:v>25.666666666666668</c:v>
                </c:pt>
                <c:pt idx="6">
                  <c:v>28</c:v>
                </c:pt>
              </c:numCache>
            </c:numRef>
          </c:val>
        </c:ser>
        <c:ser>
          <c:idx val="2"/>
          <c:order val="2"/>
          <c:tx>
            <c:strRef>
              <c:f>Monthly!$M$3</c:f>
              <c:strCache>
                <c:ptCount val="1"/>
                <c:pt idx="0">
                  <c:v>Properties Let</c:v>
                </c:pt>
              </c:strCache>
            </c:strRef>
          </c:tx>
          <c:invertIfNegative val="0"/>
          <c:cat>
            <c:strRef>
              <c:f>Monthly!$J$4:$J$10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Monthly!$M$4:$M$10</c:f>
              <c:numCache>
                <c:formatCode>0</c:formatCode>
                <c:ptCount val="7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492224"/>
        <c:axId val="215736320"/>
      </c:barChart>
      <c:lineChart>
        <c:grouping val="standard"/>
        <c:varyColors val="0"/>
        <c:ser>
          <c:idx val="0"/>
          <c:order val="0"/>
          <c:tx>
            <c:strRef>
              <c:f>Monthly!$K$3</c:f>
              <c:strCache>
                <c:ptCount val="1"/>
                <c:pt idx="0">
                  <c:v>Year to Date</c:v>
                </c:pt>
              </c:strCache>
            </c:strRef>
          </c:tx>
          <c:marker>
            <c:symbol val="none"/>
          </c:marker>
          <c:cat>
            <c:strRef>
              <c:f>Monthly!$J$4:$J$10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Monthly!$K$4:$K$10</c:f>
              <c:numCache>
                <c:formatCode>0.00</c:formatCode>
                <c:ptCount val="7"/>
                <c:pt idx="0">
                  <c:v>51.75</c:v>
                </c:pt>
                <c:pt idx="1">
                  <c:v>49.4</c:v>
                </c:pt>
                <c:pt idx="2">
                  <c:v>44.46153846153846</c:v>
                </c:pt>
                <c:pt idx="3">
                  <c:v>40.176470588235297</c:v>
                </c:pt>
                <c:pt idx="4">
                  <c:v>37.421052631578945</c:v>
                </c:pt>
                <c:pt idx="5">
                  <c:v>35.81818181818182</c:v>
                </c:pt>
                <c:pt idx="6">
                  <c:v>35.478260869565219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492224"/>
        <c:axId val="215736320"/>
      </c:lineChart>
      <c:catAx>
        <c:axId val="207492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5736320"/>
        <c:crosses val="autoZero"/>
        <c:auto val="1"/>
        <c:lblAlgn val="ctr"/>
        <c:lblOffset val="100"/>
        <c:noMultiLvlLbl val="0"/>
      </c:catAx>
      <c:valAx>
        <c:axId val="2157363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Days Void Per Property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crossAx val="207492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Sheltered Voids 2016-17</a:t>
            </a:r>
          </a:p>
        </c:rich>
      </c:tx>
      <c:layout>
        <c:manualLayout>
          <c:xMode val="edge"/>
          <c:yMode val="edge"/>
          <c:x val="0.36988076894101346"/>
          <c:y val="1.26019692809633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Monthly!$L$30</c:f>
              <c:strCache>
                <c:ptCount val="1"/>
                <c:pt idx="0">
                  <c:v>Monthly Performance</c:v>
                </c:pt>
              </c:strCache>
            </c:strRef>
          </c:tx>
          <c:invertIfNegative val="0"/>
          <c:cat>
            <c:strRef>
              <c:f>Monthly!$J$31:$J$42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Monthly!$L$31:$L$42</c:f>
              <c:numCache>
                <c:formatCode>0.00</c:formatCode>
                <c:ptCount val="12"/>
                <c:pt idx="1">
                  <c:v>161</c:v>
                </c:pt>
                <c:pt idx="2">
                  <c:v>241.5</c:v>
                </c:pt>
                <c:pt idx="3">
                  <c:v>149.33333333333334</c:v>
                </c:pt>
                <c:pt idx="4">
                  <c:v>350</c:v>
                </c:pt>
                <c:pt idx="5">
                  <c:v>161</c:v>
                </c:pt>
                <c:pt idx="6">
                  <c:v>75.25</c:v>
                </c:pt>
                <c:pt idx="7">
                  <c:v>135.33333333333334</c:v>
                </c:pt>
                <c:pt idx="8">
                  <c:v>123.66666666666667</c:v>
                </c:pt>
                <c:pt idx="9">
                  <c:v>45.5</c:v>
                </c:pt>
                <c:pt idx="10">
                  <c:v>42</c:v>
                </c:pt>
                <c:pt idx="11">
                  <c:v>21</c:v>
                </c:pt>
              </c:numCache>
            </c:numRef>
          </c:val>
        </c:ser>
        <c:ser>
          <c:idx val="2"/>
          <c:order val="2"/>
          <c:tx>
            <c:strRef>
              <c:f>Monthly!$M$30</c:f>
              <c:strCache>
                <c:ptCount val="1"/>
                <c:pt idx="0">
                  <c:v>Properties Let</c:v>
                </c:pt>
              </c:strCache>
            </c:strRef>
          </c:tx>
          <c:invertIfNegative val="0"/>
          <c:cat>
            <c:strRef>
              <c:f>Monthly!$J$31:$J$42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Monthly!$M$31:$M$42</c:f>
              <c:numCache>
                <c:formatCode>0</c:formatCode>
                <c:ptCount val="12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120064"/>
        <c:axId val="242626944"/>
      </c:barChart>
      <c:lineChart>
        <c:grouping val="standard"/>
        <c:varyColors val="0"/>
        <c:ser>
          <c:idx val="0"/>
          <c:order val="0"/>
          <c:tx>
            <c:strRef>
              <c:f>Monthly!$K$30</c:f>
              <c:strCache>
                <c:ptCount val="1"/>
                <c:pt idx="0">
                  <c:v>Year to Date</c:v>
                </c:pt>
              </c:strCache>
            </c:strRef>
          </c:tx>
          <c:marker>
            <c:symbol val="none"/>
          </c:marker>
          <c:cat>
            <c:strRef>
              <c:f>Monthly!$J$31:$J$42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Monthly!$K$31:$K$42</c:f>
              <c:numCache>
                <c:formatCode>0.00</c:formatCode>
                <c:ptCount val="12"/>
                <c:pt idx="1">
                  <c:v>161</c:v>
                </c:pt>
                <c:pt idx="2">
                  <c:v>214.66666666666666</c:v>
                </c:pt>
                <c:pt idx="3">
                  <c:v>182</c:v>
                </c:pt>
                <c:pt idx="4">
                  <c:v>206</c:v>
                </c:pt>
                <c:pt idx="5">
                  <c:v>192.5</c:v>
                </c:pt>
                <c:pt idx="6">
                  <c:v>159</c:v>
                </c:pt>
                <c:pt idx="7">
                  <c:v>154.8235294117647</c:v>
                </c:pt>
                <c:pt idx="8">
                  <c:v>150.15</c:v>
                </c:pt>
                <c:pt idx="9">
                  <c:v>140.63636363636363</c:v>
                </c:pt>
                <c:pt idx="10">
                  <c:v>128.80000000000001</c:v>
                </c:pt>
                <c:pt idx="11">
                  <c:v>110.83333333333333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120064"/>
        <c:axId val="242626944"/>
      </c:lineChart>
      <c:catAx>
        <c:axId val="23012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42626944"/>
        <c:crosses val="autoZero"/>
        <c:auto val="1"/>
        <c:lblAlgn val="ctr"/>
        <c:lblOffset val="100"/>
        <c:noMultiLvlLbl val="0"/>
      </c:catAx>
      <c:valAx>
        <c:axId val="2426269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Days Void Per Property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crossAx val="230120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Sheltered Voids 2017-18</a:t>
            </a:r>
          </a:p>
        </c:rich>
      </c:tx>
      <c:layout>
        <c:manualLayout>
          <c:xMode val="edge"/>
          <c:yMode val="edge"/>
          <c:x val="0.36988076894101346"/>
          <c:y val="1.26019692809633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Monthly!$L$20</c:f>
              <c:strCache>
                <c:ptCount val="1"/>
                <c:pt idx="0">
                  <c:v>Monthly Performance</c:v>
                </c:pt>
              </c:strCache>
            </c:strRef>
          </c:tx>
          <c:invertIfNegative val="0"/>
          <c:cat>
            <c:strRef>
              <c:f>Monthly!$J$21:$J$27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Monthly!$L$21:$L$27</c:f>
              <c:numCache>
                <c:formatCode>0.00</c:formatCode>
                <c:ptCount val="7"/>
                <c:pt idx="0">
                  <c:v>87.5</c:v>
                </c:pt>
                <c:pt idx="1">
                  <c:v>66.5</c:v>
                </c:pt>
                <c:pt idx="2">
                  <c:v>9.3333333333333339</c:v>
                </c:pt>
                <c:pt idx="3">
                  <c:v>42</c:v>
                </c:pt>
                <c:pt idx="4">
                  <c:v>84</c:v>
                </c:pt>
                <c:pt idx="5">
                  <c:v>219.33333333333334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Monthly!$M$20</c:f>
              <c:strCache>
                <c:ptCount val="1"/>
                <c:pt idx="0">
                  <c:v>Properties Let</c:v>
                </c:pt>
              </c:strCache>
            </c:strRef>
          </c:tx>
          <c:invertIfNegative val="0"/>
          <c:cat>
            <c:strRef>
              <c:f>Monthly!$J$21:$J$27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Monthly!$M$21:$M$27</c:f>
              <c:numCache>
                <c:formatCode>0</c:formatCode>
                <c:ptCount val="7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139008"/>
        <c:axId val="130105728"/>
      </c:barChart>
      <c:lineChart>
        <c:grouping val="standard"/>
        <c:varyColors val="0"/>
        <c:ser>
          <c:idx val="0"/>
          <c:order val="0"/>
          <c:tx>
            <c:strRef>
              <c:f>Monthly!$K$20</c:f>
              <c:strCache>
                <c:ptCount val="1"/>
                <c:pt idx="0">
                  <c:v>Year to Date</c:v>
                </c:pt>
              </c:strCache>
            </c:strRef>
          </c:tx>
          <c:marker>
            <c:symbol val="none"/>
          </c:marker>
          <c:cat>
            <c:strRef>
              <c:f>Monthly!$J$21:$J$27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Monthly!$K$21:$K$27</c:f>
              <c:numCache>
                <c:formatCode>0.00</c:formatCode>
                <c:ptCount val="7"/>
                <c:pt idx="0">
                  <c:v>87.5</c:v>
                </c:pt>
                <c:pt idx="1">
                  <c:v>79.099999999999994</c:v>
                </c:pt>
                <c:pt idx="2">
                  <c:v>63</c:v>
                </c:pt>
                <c:pt idx="3">
                  <c:v>60.2</c:v>
                </c:pt>
                <c:pt idx="4">
                  <c:v>63</c:v>
                </c:pt>
                <c:pt idx="5">
                  <c:v>86.45</c:v>
                </c:pt>
                <c:pt idx="6">
                  <c:v>78.590909090909093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139008"/>
        <c:axId val="130105728"/>
      </c:lineChart>
      <c:catAx>
        <c:axId val="254139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105728"/>
        <c:crosses val="autoZero"/>
        <c:auto val="1"/>
        <c:lblAlgn val="ctr"/>
        <c:lblOffset val="100"/>
        <c:noMultiLvlLbl val="0"/>
      </c:catAx>
      <c:valAx>
        <c:axId val="130105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Days Void Per Property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crossAx val="254139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41E1-249C-4434-86A6-5BB9E6FA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8F2D556F</Template>
  <TotalTime>93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Graves</dc:creator>
  <cp:lastModifiedBy>Bill Graves</cp:lastModifiedBy>
  <cp:revision>4</cp:revision>
  <dcterms:created xsi:type="dcterms:W3CDTF">2017-08-30T14:23:00Z</dcterms:created>
  <dcterms:modified xsi:type="dcterms:W3CDTF">2017-10-24T13:47:00Z</dcterms:modified>
</cp:coreProperties>
</file>